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2876" w:rsidRDefault="00DF78C4" w14:paraId="688702A8" w14:textId="77777777">
      <w:pPr>
        <w:pStyle w:val="Textoindependiente"/>
        <w:ind w:left="222"/>
      </w:pPr>
      <w:r>
        <w:t>Se</w:t>
      </w:r>
      <w:r>
        <w:rPr>
          <w:spacing w:val="-2"/>
        </w:rPr>
        <w:t xml:space="preserve"> </w:t>
      </w:r>
      <w:r>
        <w:t>deberá</w:t>
      </w:r>
      <w:r>
        <w:rPr>
          <w:spacing w:val="-1"/>
        </w:rPr>
        <w:t xml:space="preserve"> </w:t>
      </w:r>
      <w:r>
        <w:t>indicar</w:t>
      </w:r>
      <w:r>
        <w:rPr>
          <w:spacing w:val="-3"/>
        </w:rPr>
        <w:t xml:space="preserve"> </w:t>
      </w:r>
      <w:r>
        <w:t>con</w:t>
      </w:r>
      <w:r>
        <w:rPr>
          <w:spacing w:val="-2"/>
        </w:rPr>
        <w:t xml:space="preserve"> </w:t>
      </w:r>
      <w:r>
        <w:t>una</w:t>
      </w:r>
      <w:r>
        <w:rPr>
          <w:spacing w:val="-4"/>
        </w:rPr>
        <w:t xml:space="preserve"> </w:t>
      </w:r>
      <w:r>
        <w:t>X</w:t>
      </w:r>
      <w:r>
        <w:rPr>
          <w:spacing w:val="-1"/>
        </w:rPr>
        <w:t xml:space="preserve"> </w:t>
      </w:r>
      <w:r>
        <w:t>el</w:t>
      </w:r>
      <w:r>
        <w:rPr>
          <w:spacing w:val="-4"/>
        </w:rPr>
        <w:t xml:space="preserve"> </w:t>
      </w:r>
      <w:r>
        <w:t>alcance o</w:t>
      </w:r>
      <w:r>
        <w:rPr>
          <w:spacing w:val="-3"/>
        </w:rPr>
        <w:t xml:space="preserve"> </w:t>
      </w:r>
      <w:r>
        <w:t>alcances</w:t>
      </w:r>
      <w:r>
        <w:rPr>
          <w:spacing w:val="-2"/>
        </w:rPr>
        <w:t xml:space="preserve"> </w:t>
      </w:r>
      <w:r>
        <w:t>en</w:t>
      </w:r>
      <w:r>
        <w:rPr>
          <w:spacing w:val="-5"/>
        </w:rPr>
        <w:t xml:space="preserve"> </w:t>
      </w:r>
      <w:r>
        <w:t>los</w:t>
      </w:r>
      <w:r>
        <w:rPr>
          <w:spacing w:val="-2"/>
        </w:rPr>
        <w:t xml:space="preserve"> </w:t>
      </w:r>
      <w:r>
        <w:t>cuales participará</w:t>
      </w:r>
    </w:p>
    <w:p w:rsidR="00682876" w:rsidRDefault="00682876" w14:paraId="1E7DC4EB" w14:textId="77777777">
      <w:pPr>
        <w:pStyle w:val="Textoindependiente"/>
        <w:spacing w:before="1"/>
        <w:rPr>
          <w:sz w:val="20"/>
        </w:rPr>
      </w:pPr>
    </w:p>
    <w:tbl>
      <w:tblPr>
        <w:tblStyle w:val="TableNormal"/>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922"/>
        <w:gridCol w:w="2725"/>
      </w:tblGrid>
      <w:tr w:rsidRPr="00E82089" w:rsidR="00682876" w14:paraId="4B3622E8" w14:textId="77777777">
        <w:trPr>
          <w:trHeight w:val="1612"/>
        </w:trPr>
        <w:tc>
          <w:tcPr>
            <w:tcW w:w="5922" w:type="dxa"/>
          </w:tcPr>
          <w:p w:rsidRPr="00E82089" w:rsidR="00682876" w:rsidP="00E82089" w:rsidRDefault="00E82089" w14:paraId="59F835B3" w14:textId="6597A308">
            <w:pPr>
              <w:pStyle w:val="TableParagraph"/>
              <w:ind w:right="137"/>
              <w:jc w:val="both"/>
              <w:rPr>
                <w:rFonts w:asciiTheme="minorHAnsi" w:hAnsiTheme="minorHAnsi" w:cstheme="minorHAnsi"/>
              </w:rPr>
            </w:pPr>
            <w:r w:rsidRPr="00E82089">
              <w:rPr>
                <w:rStyle w:val="normaltextrun"/>
                <w:rFonts w:asciiTheme="minorHAnsi" w:hAnsiTheme="minorHAnsi" w:cstheme="minorHAnsi"/>
                <w:b/>
                <w:bCs/>
                <w:shd w:val="clear" w:color="auto" w:fill="FFFFFF"/>
              </w:rPr>
              <w:t>Modalidad A. Prestación de Servicios de Seguridad y Salud en el Trabajo</w:t>
            </w:r>
            <w:r w:rsidRPr="00E82089">
              <w:rPr>
                <w:rStyle w:val="normaltextrun"/>
                <w:rFonts w:asciiTheme="minorHAnsi" w:hAnsiTheme="minorHAnsi" w:cstheme="minorHAnsi"/>
                <w:shd w:val="clear" w:color="auto" w:fill="FFFFFF"/>
              </w:rPr>
              <w:t>: Exámenes de salud ocupacional (de Ingreso, Periódicos, Retiro, Reintegro, Por cambio de ocupación, exámenes para manipuladores de alimentos, exámenes para personal de trabajos en altura, prueba psicométrica), Ayudas diagnosticas (laboratorio clínico y pruebas complementarias a Usuarios Afiliados y no Afiliados en el Área Metropolitana y las Regiones del Departamento de Antioquia en modalidad intramural y extramural.</w:t>
            </w:r>
          </w:p>
        </w:tc>
        <w:tc>
          <w:tcPr>
            <w:tcW w:w="2725" w:type="dxa"/>
          </w:tcPr>
          <w:p w:rsidRPr="00E82089" w:rsidR="00682876" w:rsidP="00E82089" w:rsidRDefault="00682876" w14:paraId="2230F510" w14:textId="77777777">
            <w:pPr>
              <w:pStyle w:val="TableParagraph"/>
              <w:ind w:left="0"/>
              <w:jc w:val="both"/>
              <w:rPr>
                <w:rFonts w:asciiTheme="minorHAnsi" w:hAnsiTheme="minorHAnsi" w:cstheme="minorHAnsi"/>
              </w:rPr>
            </w:pPr>
          </w:p>
        </w:tc>
      </w:tr>
      <w:tr w:rsidRPr="00E82089" w:rsidR="00682876" w14:paraId="310B965D" w14:textId="77777777">
        <w:trPr>
          <w:trHeight w:val="1075"/>
        </w:trPr>
        <w:tc>
          <w:tcPr>
            <w:tcW w:w="5922" w:type="dxa"/>
          </w:tcPr>
          <w:p w:rsidRPr="00E82089" w:rsidR="00682876" w:rsidP="00E82089" w:rsidRDefault="00E82089" w14:paraId="76E5EBAE" w14:textId="113304B1">
            <w:pPr>
              <w:pStyle w:val="TableParagraph"/>
              <w:ind w:right="453"/>
              <w:jc w:val="both"/>
              <w:rPr>
                <w:rFonts w:asciiTheme="minorHAnsi" w:hAnsiTheme="minorHAnsi" w:cstheme="minorHAnsi"/>
              </w:rPr>
            </w:pPr>
            <w:r w:rsidRPr="00E82089">
              <w:rPr>
                <w:rStyle w:val="normaltextrun"/>
                <w:rFonts w:asciiTheme="minorHAnsi" w:hAnsiTheme="minorHAnsi" w:cstheme="minorHAnsi"/>
                <w:b/>
                <w:bCs/>
                <w:shd w:val="clear" w:color="auto" w:fill="FFFFFF"/>
              </w:rPr>
              <w:t xml:space="preserve">Modalidad B. Medicina Deportiva: </w:t>
            </w:r>
            <w:r w:rsidRPr="00E82089">
              <w:rPr>
                <w:rStyle w:val="normaltextrun"/>
                <w:rFonts w:asciiTheme="minorHAnsi" w:hAnsiTheme="minorHAnsi" w:cstheme="minorHAnsi"/>
                <w:shd w:val="clear" w:color="auto" w:fill="FFFFFF"/>
              </w:rPr>
              <w:t xml:space="preserve">El servicio consta de: hora medico </w:t>
            </w:r>
            <w:proofErr w:type="spellStart"/>
            <w:r w:rsidRPr="00E82089">
              <w:rPr>
                <w:rStyle w:val="normaltextrun"/>
                <w:rFonts w:asciiTheme="minorHAnsi" w:hAnsiTheme="minorHAnsi" w:cstheme="minorHAnsi"/>
                <w:shd w:val="clear" w:color="auto" w:fill="FFFFFF"/>
              </w:rPr>
              <w:t>Deportologo</w:t>
            </w:r>
            <w:proofErr w:type="spellEnd"/>
            <w:r w:rsidRPr="00E82089">
              <w:rPr>
                <w:rStyle w:val="normaltextrun"/>
                <w:rFonts w:asciiTheme="minorHAnsi" w:hAnsiTheme="minorHAnsi" w:cstheme="minorHAnsi"/>
                <w:shd w:val="clear" w:color="auto" w:fill="FFFFFF"/>
              </w:rPr>
              <w:t xml:space="preserve">, hora fisioterapeuta, hora nutricionista, Consulta </w:t>
            </w:r>
            <w:proofErr w:type="spellStart"/>
            <w:r w:rsidRPr="00E82089">
              <w:rPr>
                <w:rStyle w:val="normaltextrun"/>
                <w:rFonts w:asciiTheme="minorHAnsi" w:hAnsiTheme="minorHAnsi" w:cstheme="minorHAnsi"/>
                <w:shd w:val="clear" w:color="auto" w:fill="FFFFFF"/>
              </w:rPr>
              <w:t>deportologia</w:t>
            </w:r>
            <w:proofErr w:type="spellEnd"/>
            <w:r w:rsidRPr="00E82089">
              <w:rPr>
                <w:rStyle w:val="normaltextrun"/>
                <w:rFonts w:asciiTheme="minorHAnsi" w:hAnsiTheme="minorHAnsi" w:cstheme="minorHAnsi"/>
                <w:shd w:val="clear" w:color="auto" w:fill="FFFFFF"/>
              </w:rPr>
              <w:t xml:space="preserve"> de 30 minutos, Consulta </w:t>
            </w:r>
            <w:proofErr w:type="spellStart"/>
            <w:r w:rsidRPr="00E82089">
              <w:rPr>
                <w:rStyle w:val="normaltextrun"/>
                <w:rFonts w:asciiTheme="minorHAnsi" w:hAnsiTheme="minorHAnsi" w:cstheme="minorHAnsi"/>
                <w:shd w:val="clear" w:color="auto" w:fill="FFFFFF"/>
              </w:rPr>
              <w:t>deportologia</w:t>
            </w:r>
            <w:proofErr w:type="spellEnd"/>
            <w:r w:rsidRPr="00E82089">
              <w:rPr>
                <w:rStyle w:val="normaltextrun"/>
                <w:rFonts w:asciiTheme="minorHAnsi" w:hAnsiTheme="minorHAnsi" w:cstheme="minorHAnsi"/>
                <w:shd w:val="clear" w:color="auto" w:fill="FFFFFF"/>
              </w:rPr>
              <w:t xml:space="preserve"> una hora, Consulta fisioterapeuta 30 minutos, Consulta de nutrición 1 hora, Conferencias hábitos de vida saludable a Usuarios Afiliados y no Afiliados en el Área Metropolitana y las Regiones del Departamento de Antioquia en modalidad intramural y extramural.</w:t>
            </w:r>
          </w:p>
        </w:tc>
        <w:tc>
          <w:tcPr>
            <w:tcW w:w="2725" w:type="dxa"/>
          </w:tcPr>
          <w:p w:rsidRPr="00E82089" w:rsidR="00682876" w:rsidP="00E82089" w:rsidRDefault="00682876" w14:paraId="6D8F6466" w14:textId="77777777">
            <w:pPr>
              <w:pStyle w:val="TableParagraph"/>
              <w:ind w:left="0"/>
              <w:jc w:val="both"/>
              <w:rPr>
                <w:rFonts w:asciiTheme="minorHAnsi" w:hAnsiTheme="minorHAnsi" w:cstheme="minorHAnsi"/>
              </w:rPr>
            </w:pPr>
          </w:p>
        </w:tc>
      </w:tr>
      <w:tr w:rsidRPr="00E82089" w:rsidR="00682876" w14:paraId="71D429D5" w14:textId="77777777">
        <w:trPr>
          <w:trHeight w:val="537"/>
        </w:trPr>
        <w:tc>
          <w:tcPr>
            <w:tcW w:w="5922" w:type="dxa"/>
          </w:tcPr>
          <w:p w:rsidRPr="00E82089" w:rsidR="00682876" w:rsidP="00E82089" w:rsidRDefault="00E82089" w14:paraId="67FF919F" w14:textId="28DC6CC0">
            <w:pPr>
              <w:pStyle w:val="TableParagraph"/>
              <w:spacing w:line="252" w:lineRule="exact"/>
              <w:jc w:val="both"/>
              <w:rPr>
                <w:rFonts w:asciiTheme="minorHAnsi" w:hAnsiTheme="minorHAnsi" w:cstheme="minorHAnsi"/>
              </w:rPr>
            </w:pPr>
            <w:r w:rsidRPr="00E82089">
              <w:rPr>
                <w:rStyle w:val="normaltextrun"/>
                <w:rFonts w:asciiTheme="minorHAnsi" w:hAnsiTheme="minorHAnsi" w:cstheme="minorHAnsi"/>
                <w:b/>
                <w:bCs/>
                <w:shd w:val="clear" w:color="auto" w:fill="FFFFFF"/>
              </w:rPr>
              <w:t xml:space="preserve">Modalidad C. Suministro de Biológicos: </w:t>
            </w:r>
            <w:r w:rsidRPr="00E82089">
              <w:rPr>
                <w:rStyle w:val="normaltextrun"/>
                <w:rFonts w:asciiTheme="minorHAnsi" w:hAnsiTheme="minorHAnsi" w:cstheme="minorHAnsi"/>
                <w:shd w:val="clear" w:color="auto" w:fill="FFFFFF"/>
              </w:rPr>
              <w:t xml:space="preserve">Suministrar con sus propios medios, equipos, personal y recursos financieros, locativos y administrativos el suministro de biológicos (vacunas) por demanda, requeridos por </w:t>
            </w:r>
            <w:r w:rsidRPr="00E82089">
              <w:rPr>
                <w:rStyle w:val="normaltextrun"/>
                <w:rFonts w:asciiTheme="minorHAnsi" w:hAnsiTheme="minorHAnsi" w:cstheme="minorHAnsi"/>
                <w:b/>
                <w:bCs/>
                <w:shd w:val="clear" w:color="auto" w:fill="FFFFFF"/>
              </w:rPr>
              <w:t>COMFENALCO ANTIOQUIA.</w:t>
            </w:r>
            <w:r w:rsidRPr="00E82089">
              <w:rPr>
                <w:rStyle w:val="eop"/>
                <w:rFonts w:asciiTheme="minorHAnsi" w:hAnsiTheme="minorHAnsi" w:cstheme="minorHAnsi"/>
                <w:shd w:val="clear" w:color="auto" w:fill="FFFFFF"/>
              </w:rPr>
              <w:t> </w:t>
            </w:r>
          </w:p>
        </w:tc>
        <w:tc>
          <w:tcPr>
            <w:tcW w:w="2725" w:type="dxa"/>
          </w:tcPr>
          <w:p w:rsidRPr="00E82089" w:rsidR="00682876" w:rsidP="00E82089" w:rsidRDefault="00682876" w14:paraId="52827520" w14:textId="77777777">
            <w:pPr>
              <w:pStyle w:val="TableParagraph"/>
              <w:ind w:left="0"/>
              <w:jc w:val="both"/>
              <w:rPr>
                <w:rFonts w:asciiTheme="minorHAnsi" w:hAnsiTheme="minorHAnsi" w:cstheme="minorHAnsi"/>
              </w:rPr>
            </w:pPr>
          </w:p>
        </w:tc>
      </w:tr>
      <w:tr w:rsidRPr="00E82089" w:rsidR="00682876" w14:paraId="34F0BC38" w14:textId="77777777">
        <w:trPr>
          <w:trHeight w:val="537"/>
        </w:trPr>
        <w:tc>
          <w:tcPr>
            <w:tcW w:w="5922" w:type="dxa"/>
          </w:tcPr>
          <w:p w:rsidRPr="00E82089" w:rsidR="00682876" w:rsidP="00E82089" w:rsidRDefault="00E82089" w14:paraId="3DF63876" w14:textId="036DDD0F">
            <w:pPr>
              <w:pStyle w:val="TableParagraph"/>
              <w:spacing w:line="252" w:lineRule="exact"/>
              <w:jc w:val="both"/>
              <w:rPr>
                <w:rFonts w:asciiTheme="minorHAnsi" w:hAnsiTheme="minorHAnsi" w:cstheme="minorHAnsi"/>
              </w:rPr>
            </w:pPr>
            <w:r w:rsidRPr="00E82089">
              <w:rPr>
                <w:rStyle w:val="normaltextrun"/>
                <w:rFonts w:asciiTheme="minorHAnsi" w:hAnsiTheme="minorHAnsi" w:cstheme="minorHAnsi"/>
                <w:b/>
                <w:bCs/>
                <w:shd w:val="clear" w:color="auto" w:fill="FFFFFF"/>
              </w:rPr>
              <w:t xml:space="preserve">Modalidad D. Aplicación de Biológicos: </w:t>
            </w:r>
            <w:r w:rsidRPr="00E82089">
              <w:rPr>
                <w:rStyle w:val="normaltextrun"/>
                <w:rFonts w:asciiTheme="minorHAnsi" w:hAnsiTheme="minorHAnsi" w:cstheme="minorHAnsi"/>
                <w:shd w:val="clear" w:color="auto" w:fill="FFFFFF"/>
              </w:rPr>
              <w:t xml:space="preserve">Aplicación de Biológicos realizada por auxiliares de Enfermería y/o técnicos de salud pública debidamente certificados con el requerimiento en competencias labores y/o diplomado en vacunación. El proveedor deberá suministrar la solución salina, jeringas, toallas de mano, curas, alcohol, guardianes, desinfectante </w:t>
            </w:r>
            <w:proofErr w:type="gramStart"/>
            <w:r w:rsidRPr="00E82089">
              <w:rPr>
                <w:rStyle w:val="normaltextrun"/>
                <w:rFonts w:asciiTheme="minorHAnsi" w:hAnsiTheme="minorHAnsi" w:cstheme="minorHAnsi"/>
                <w:shd w:val="clear" w:color="auto" w:fill="FFFFFF"/>
              </w:rPr>
              <w:t>y  todo</w:t>
            </w:r>
            <w:proofErr w:type="gramEnd"/>
            <w:r w:rsidRPr="00E82089">
              <w:rPr>
                <w:rStyle w:val="normaltextrun"/>
                <w:rFonts w:asciiTheme="minorHAnsi" w:hAnsiTheme="minorHAnsi" w:cstheme="minorHAnsi"/>
                <w:shd w:val="clear" w:color="auto" w:fill="FFFFFF"/>
              </w:rPr>
              <w:t xml:space="preserve"> lo necesario para su aplicación y cumplimiento de las condiciones de bioseguridad.</w:t>
            </w:r>
            <w:r w:rsidRPr="00E82089">
              <w:rPr>
                <w:rStyle w:val="eop"/>
                <w:rFonts w:asciiTheme="minorHAnsi" w:hAnsiTheme="minorHAnsi" w:cstheme="minorHAnsi"/>
                <w:shd w:val="clear" w:color="auto" w:fill="FFFFFF"/>
              </w:rPr>
              <w:t> </w:t>
            </w:r>
          </w:p>
        </w:tc>
        <w:tc>
          <w:tcPr>
            <w:tcW w:w="2725" w:type="dxa"/>
          </w:tcPr>
          <w:p w:rsidRPr="00E82089" w:rsidR="00682876" w:rsidP="00E82089" w:rsidRDefault="00682876" w14:paraId="29E0ECFF" w14:textId="77777777">
            <w:pPr>
              <w:pStyle w:val="TableParagraph"/>
              <w:ind w:left="0"/>
              <w:jc w:val="both"/>
              <w:rPr>
                <w:rFonts w:asciiTheme="minorHAnsi" w:hAnsiTheme="minorHAnsi" w:cstheme="minorHAnsi"/>
              </w:rPr>
            </w:pPr>
          </w:p>
        </w:tc>
      </w:tr>
      <w:tr w:rsidRPr="00E82089" w:rsidR="00E82089" w14:paraId="4D80E7FF" w14:textId="77777777">
        <w:trPr>
          <w:trHeight w:val="537"/>
        </w:trPr>
        <w:tc>
          <w:tcPr>
            <w:tcW w:w="5922" w:type="dxa"/>
          </w:tcPr>
          <w:p w:rsidRPr="00E82089" w:rsidR="00E82089" w:rsidP="00E82089" w:rsidRDefault="00E82089" w14:paraId="7BD5945E" w14:textId="05FA10F5">
            <w:pPr>
              <w:pStyle w:val="TableParagraph"/>
              <w:spacing w:line="252" w:lineRule="exact"/>
              <w:jc w:val="both"/>
              <w:rPr>
                <w:rStyle w:val="normaltextrun"/>
                <w:rFonts w:asciiTheme="minorHAnsi" w:hAnsiTheme="minorHAnsi" w:cstheme="minorHAnsi"/>
                <w:b/>
                <w:bCs/>
                <w:shd w:val="clear" w:color="auto" w:fill="FFFFFF"/>
              </w:rPr>
            </w:pPr>
            <w:r w:rsidRPr="00E82089">
              <w:rPr>
                <w:rStyle w:val="normaltextrun"/>
                <w:rFonts w:asciiTheme="minorHAnsi" w:hAnsiTheme="minorHAnsi" w:cstheme="minorHAnsi"/>
                <w:b/>
                <w:bCs/>
                <w:shd w:val="clear" w:color="auto" w:fill="FFFFFF"/>
              </w:rPr>
              <w:t xml:space="preserve">Modalidad E. Servicios de Salud Mental: </w:t>
            </w:r>
            <w:r w:rsidRPr="00E82089">
              <w:rPr>
                <w:rStyle w:val="normaltextrun"/>
                <w:rFonts w:asciiTheme="minorHAnsi" w:hAnsiTheme="minorHAnsi" w:cstheme="minorHAnsi"/>
                <w:shd w:val="clear" w:color="auto" w:fill="FFFFFF"/>
              </w:rPr>
              <w:t>Prestación de servicios hora profesional psicosocial, trabajador social, psicología, médico especialista en farmacodependencia, médico psiquiatra, medico toxicólogo, psicosocial especialista para brindar acompañamiento empresarial en los programas de prevención de consumo de sustancias psicoactivas, conferencias y talleres. Servicios de Consulta psicológica a Usuarios Afiliados y no Afiliados en el Área Metropolitana y las Regiones del Departamento de Antioquia en modalidad intramural y extramural.</w:t>
            </w:r>
          </w:p>
        </w:tc>
        <w:tc>
          <w:tcPr>
            <w:tcW w:w="2725" w:type="dxa"/>
          </w:tcPr>
          <w:p w:rsidRPr="00E82089" w:rsidR="00E82089" w:rsidP="00E82089" w:rsidRDefault="00E82089" w14:paraId="4BA9D5EE" w14:textId="77777777">
            <w:pPr>
              <w:pStyle w:val="TableParagraph"/>
              <w:ind w:left="0"/>
              <w:jc w:val="both"/>
              <w:rPr>
                <w:rFonts w:asciiTheme="minorHAnsi" w:hAnsiTheme="minorHAnsi" w:cstheme="minorHAnsi"/>
              </w:rPr>
            </w:pPr>
          </w:p>
        </w:tc>
      </w:tr>
      <w:tr w:rsidRPr="00E82089" w:rsidR="00E82089" w14:paraId="7F8445F1" w14:textId="77777777">
        <w:trPr>
          <w:trHeight w:val="537"/>
        </w:trPr>
        <w:tc>
          <w:tcPr>
            <w:tcW w:w="5922" w:type="dxa"/>
          </w:tcPr>
          <w:p w:rsidRPr="00E82089" w:rsidR="00E82089" w:rsidP="00E82089" w:rsidRDefault="00E82089" w14:paraId="6545BEF0" w14:textId="01473906">
            <w:pPr>
              <w:pStyle w:val="TableParagraph"/>
              <w:spacing w:line="252" w:lineRule="exact"/>
              <w:jc w:val="both"/>
              <w:rPr>
                <w:rStyle w:val="normaltextrun"/>
                <w:rFonts w:asciiTheme="minorHAnsi" w:hAnsiTheme="minorHAnsi" w:cstheme="minorHAnsi"/>
                <w:b/>
                <w:bCs/>
                <w:shd w:val="clear" w:color="auto" w:fill="FFFFFF"/>
              </w:rPr>
            </w:pPr>
            <w:r w:rsidRPr="00E82089">
              <w:rPr>
                <w:rStyle w:val="normaltextrun"/>
                <w:rFonts w:asciiTheme="minorHAnsi" w:hAnsiTheme="minorHAnsi" w:cstheme="minorHAnsi"/>
                <w:b/>
                <w:bCs/>
                <w:shd w:val="clear" w:color="auto" w:fill="FFFFFF"/>
              </w:rPr>
              <w:t xml:space="preserve">Modalidad F. Telemedicina: </w:t>
            </w:r>
            <w:r w:rsidRPr="00E82089">
              <w:rPr>
                <w:rStyle w:val="normaltextrun"/>
                <w:rFonts w:asciiTheme="minorHAnsi" w:hAnsiTheme="minorHAnsi" w:cstheme="minorHAnsi"/>
                <w:shd w:val="clear" w:color="auto" w:fill="FFFFFF"/>
              </w:rPr>
              <w:t xml:space="preserve">Conferencias de hábitos de vida saludable, Exámenes de salud ocupacional (Periódicos, Post incapacidad, post </w:t>
            </w:r>
            <w:proofErr w:type="spellStart"/>
            <w:r w:rsidRPr="00E82089">
              <w:rPr>
                <w:rStyle w:val="normaltextrun"/>
                <w:rFonts w:asciiTheme="minorHAnsi" w:hAnsiTheme="minorHAnsi" w:cstheme="minorHAnsi"/>
                <w:shd w:val="clear" w:color="auto" w:fill="FFFFFF"/>
              </w:rPr>
              <w:t>covid</w:t>
            </w:r>
            <w:proofErr w:type="spellEnd"/>
            <w:r w:rsidRPr="00E82089">
              <w:rPr>
                <w:rStyle w:val="normaltextrun"/>
                <w:rFonts w:asciiTheme="minorHAnsi" w:hAnsiTheme="minorHAnsi" w:cstheme="minorHAnsi"/>
                <w:shd w:val="clear" w:color="auto" w:fill="FFFFFF"/>
              </w:rPr>
              <w:t xml:space="preserve">), Consulta de psicología de 1 hora, Consulta de </w:t>
            </w:r>
            <w:proofErr w:type="spellStart"/>
            <w:r w:rsidRPr="00E82089">
              <w:rPr>
                <w:rStyle w:val="normaltextrun"/>
                <w:rFonts w:asciiTheme="minorHAnsi" w:hAnsiTheme="minorHAnsi" w:cstheme="minorHAnsi"/>
                <w:shd w:val="clear" w:color="auto" w:fill="FFFFFF"/>
              </w:rPr>
              <w:t>Deportología</w:t>
            </w:r>
            <w:proofErr w:type="spellEnd"/>
            <w:r w:rsidRPr="00E82089">
              <w:rPr>
                <w:rStyle w:val="normaltextrun"/>
                <w:rFonts w:asciiTheme="minorHAnsi" w:hAnsiTheme="minorHAnsi" w:cstheme="minorHAnsi"/>
                <w:shd w:val="clear" w:color="auto" w:fill="FFFFFF"/>
              </w:rPr>
              <w:t xml:space="preserve"> de 1 hora, Consulta de Nutrición de 1 hora y Otros servicios a Usuarios Afiliados y no Afiliados en el Área Metropolitana y las Regiones del Departamento de Antioquia en modalidad virtual.</w:t>
            </w:r>
            <w:r w:rsidRPr="00E82089">
              <w:rPr>
                <w:rStyle w:val="eop"/>
                <w:rFonts w:asciiTheme="minorHAnsi" w:hAnsiTheme="minorHAnsi" w:cstheme="minorHAnsi"/>
                <w:shd w:val="clear" w:color="auto" w:fill="FFFFFF"/>
              </w:rPr>
              <w:t> </w:t>
            </w:r>
          </w:p>
        </w:tc>
        <w:tc>
          <w:tcPr>
            <w:tcW w:w="2725" w:type="dxa"/>
          </w:tcPr>
          <w:p w:rsidRPr="00E82089" w:rsidR="00E82089" w:rsidP="00E82089" w:rsidRDefault="00E82089" w14:paraId="3FBAE231" w14:textId="77777777">
            <w:pPr>
              <w:pStyle w:val="TableParagraph"/>
              <w:ind w:left="0"/>
              <w:jc w:val="both"/>
              <w:rPr>
                <w:rFonts w:asciiTheme="minorHAnsi" w:hAnsiTheme="minorHAnsi" w:cstheme="minorHAnsi"/>
              </w:rPr>
            </w:pPr>
          </w:p>
        </w:tc>
      </w:tr>
    </w:tbl>
    <w:p w:rsidR="00DF78C4" w:rsidRDefault="00DF78C4" w14:paraId="1271720F" w14:textId="77777777"/>
    <w:sectPr w:rsidR="00DF78C4">
      <w:type w:val="continuous"/>
      <w:pgSz w:w="11910" w:h="16840" w:orient="portrait"/>
      <w:pgMar w:top="1360" w:right="1540" w:bottom="280" w:left="1480" w:header="720" w:footer="720" w:gutter="0"/>
      <w:cols w:space="720"/>
      <w:headerReference w:type="default" r:id="R99092a7edfd6420e"/>
      <w:footerReference w:type="default" r:id="R119a9dd4414544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60"/>
      <w:gridCol w:w="2960"/>
      <w:gridCol w:w="2960"/>
    </w:tblGrid>
    <w:tr w:rsidR="48C1051F" w:rsidTr="48C1051F" w14:paraId="77ECEB87">
      <w:tc>
        <w:tcPr>
          <w:tcW w:w="2960" w:type="dxa"/>
          <w:tcMar/>
        </w:tcPr>
        <w:p w:rsidR="48C1051F" w:rsidP="48C1051F" w:rsidRDefault="48C1051F" w14:paraId="20695927" w14:textId="45830124">
          <w:pPr>
            <w:pStyle w:val="Header"/>
            <w:bidi w:val="0"/>
            <w:ind w:left="-115"/>
            <w:jc w:val="left"/>
          </w:pPr>
        </w:p>
      </w:tc>
      <w:tc>
        <w:tcPr>
          <w:tcW w:w="2960" w:type="dxa"/>
          <w:tcMar/>
        </w:tcPr>
        <w:p w:rsidR="48C1051F" w:rsidP="48C1051F" w:rsidRDefault="48C1051F" w14:paraId="2E2D15E4" w14:textId="386E6518">
          <w:pPr>
            <w:pStyle w:val="Header"/>
            <w:bidi w:val="0"/>
            <w:jc w:val="center"/>
          </w:pPr>
        </w:p>
      </w:tc>
      <w:tc>
        <w:tcPr>
          <w:tcW w:w="2960" w:type="dxa"/>
          <w:tcMar/>
        </w:tcPr>
        <w:p w:rsidR="48C1051F" w:rsidP="48C1051F" w:rsidRDefault="48C1051F" w14:paraId="229EFE98" w14:textId="3AA4C093">
          <w:pPr>
            <w:pStyle w:val="Header"/>
            <w:bidi w:val="0"/>
            <w:ind w:right="-115"/>
            <w:jc w:val="right"/>
          </w:pPr>
        </w:p>
      </w:tc>
    </w:tr>
  </w:tbl>
  <w:p w:rsidR="48C1051F" w:rsidP="48C1051F" w:rsidRDefault="48C1051F" w14:paraId="42C5CCA4" w14:textId="368C69B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anormal"/>
      <w:bidiVisual w:val="0"/>
      <w:tblW w:w="0" w:type="auto"/>
      <w:tblLayout w:type="fixed"/>
      <w:tblLook w:val="06A0" w:firstRow="1" w:lastRow="0" w:firstColumn="1" w:lastColumn="0" w:noHBand="1" w:noVBand="1"/>
    </w:tblPr>
    <w:tblGrid>
      <w:gridCol w:w="2960"/>
      <w:gridCol w:w="5920"/>
    </w:tblGrid>
    <w:tr w:rsidR="48C1051F" w:rsidTr="48C1051F" w14:paraId="4AAD2930">
      <w:tc>
        <w:tcPr>
          <w:tcW w:w="2960" w:type="dxa"/>
          <w:tcMar/>
        </w:tcPr>
        <w:p w:rsidR="48C1051F" w:rsidP="48C1051F" w:rsidRDefault="48C1051F" w14:paraId="27450E9E" w14:textId="057FDB7B">
          <w:pPr>
            <w:pStyle w:val="Header"/>
            <w:bidi w:val="0"/>
            <w:ind w:left="-115"/>
            <w:jc w:val="left"/>
          </w:pPr>
          <w:r w:rsidR="48C1051F">
            <w:drawing>
              <wp:inline wp14:editId="47F17E34" wp14:anchorId="1A871E15">
                <wp:extent cx="1657350" cy="809625"/>
                <wp:effectExtent l="0" t="0" r="0" b="0"/>
                <wp:docPr id="1874193020" name="" descr="Sin título-2_LogoVigiado2.png" title=""/>
                <wp:cNvGraphicFramePr>
                  <a:graphicFrameLocks noChangeAspect="1"/>
                </wp:cNvGraphicFramePr>
                <a:graphic>
                  <a:graphicData uri="http://schemas.openxmlformats.org/drawingml/2006/picture">
                    <pic:pic>
                      <pic:nvPicPr>
                        <pic:cNvPr id="0" name=""/>
                        <pic:cNvPicPr/>
                      </pic:nvPicPr>
                      <pic:blipFill>
                        <a:blip r:embed="R13acd3c391f548f6">
                          <a:extLst>
                            <a:ext xmlns:a="http://schemas.openxmlformats.org/drawingml/2006/main" uri="{28A0092B-C50C-407E-A947-70E740481C1C}">
                              <a14:useLocalDpi val="0"/>
                            </a:ext>
                          </a:extLst>
                        </a:blip>
                        <a:stretch>
                          <a:fillRect/>
                        </a:stretch>
                      </pic:blipFill>
                      <pic:spPr>
                        <a:xfrm>
                          <a:off x="0" y="0"/>
                          <a:ext cx="1657350" cy="809625"/>
                        </a:xfrm>
                        <a:prstGeom prst="rect">
                          <a:avLst/>
                        </a:prstGeom>
                      </pic:spPr>
                    </pic:pic>
                  </a:graphicData>
                </a:graphic>
              </wp:inline>
            </w:drawing>
          </w:r>
          <w:r>
            <w:br/>
          </w:r>
        </w:p>
      </w:tc>
      <w:tc>
        <w:tcPr>
          <w:tcW w:w="5920" w:type="dxa"/>
          <w:tcMar/>
        </w:tcPr>
        <w:p w:rsidR="48C1051F" w:rsidP="48C1051F" w:rsidRDefault="48C1051F" w14:paraId="10340585" w14:textId="1018013F">
          <w:pPr>
            <w:pStyle w:val="Normal"/>
            <w:bidi w:val="0"/>
            <w:spacing w:before="0" w:beforeAutospacing="off" w:after="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48C1051F" w:rsidR="48C1051F">
            <w:rPr>
              <w:rFonts w:ascii="Calibri" w:hAnsi="Calibri" w:eastAsia="Calibri" w:cs="Calibri"/>
              <w:b w:val="1"/>
              <w:bCs w:val="1"/>
              <w:i w:val="0"/>
              <w:iCs w:val="0"/>
              <w:caps w:val="0"/>
              <w:smallCaps w:val="0"/>
              <w:noProof w:val="0"/>
              <w:color w:val="000000" w:themeColor="text1" w:themeTint="FF" w:themeShade="FF"/>
              <w:sz w:val="24"/>
              <w:szCs w:val="24"/>
              <w:lang w:val="es-CO"/>
            </w:rPr>
            <w:t>ANEXO 4 – ALCANCE DEL OBJETO</w:t>
          </w:r>
        </w:p>
        <w:p w:rsidR="48C1051F" w:rsidP="48C1051F" w:rsidRDefault="48C1051F" w14:paraId="66C882C7" w14:textId="06771FC2">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48C1051F" w:rsidR="48C1051F">
            <w:rPr>
              <w:rFonts w:ascii="Calibri" w:hAnsi="Calibri" w:eastAsia="Calibri" w:cs="Calibri"/>
              <w:b w:val="1"/>
              <w:bCs w:val="1"/>
              <w:i w:val="0"/>
              <w:iCs w:val="0"/>
              <w:caps w:val="0"/>
              <w:smallCaps w:val="0"/>
              <w:noProof w:val="0"/>
              <w:color w:val="000000" w:themeColor="text1" w:themeTint="FF" w:themeShade="FF"/>
              <w:sz w:val="24"/>
              <w:szCs w:val="24"/>
              <w:lang w:val="es-MX"/>
            </w:rPr>
            <w:t>Contrato Marco N. 0041 Servicios de Fomento de la Salud</w:t>
          </w:r>
        </w:p>
        <w:p w:rsidR="48C1051F" w:rsidP="48C1051F" w:rsidRDefault="48C1051F" w14:paraId="35CF4BAB" w14:textId="1D7F5EEB">
          <w:pPr>
            <w:pStyle w:val="Header"/>
            <w:bidi w:val="0"/>
            <w:jc w:val="center"/>
          </w:pPr>
        </w:p>
      </w:tc>
    </w:tr>
  </w:tbl>
  <w:p w:rsidR="48C1051F" w:rsidP="48C1051F" w:rsidRDefault="48C1051F" w14:paraId="42C15778" w14:textId="70755337">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76"/>
    <w:rsid w:val="00682876"/>
    <w:rsid w:val="00DF78C4"/>
    <w:rsid w:val="00E82089"/>
    <w:rsid w:val="447C790D"/>
    <w:rsid w:val="48C105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8DFB"/>
  <w15:docId w15:val="{02F94100-05DE-408E-8CE7-0AFBD82E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rrafodelista">
    <w:name w:val="List Paragraph"/>
    <w:basedOn w:val="Normal"/>
    <w:uiPriority w:val="1"/>
    <w:qFormat/>
  </w:style>
  <w:style w:type="paragraph" w:styleId="TableParagraph" w:customStyle="1">
    <w:name w:val="Table Paragraph"/>
    <w:basedOn w:val="Normal"/>
    <w:uiPriority w:val="1"/>
    <w:qFormat/>
    <w:pPr>
      <w:ind w:left="107"/>
    </w:pPr>
  </w:style>
  <w:style w:type="character" w:styleId="normaltextrun" w:customStyle="1">
    <w:name w:val="normaltextrun"/>
    <w:basedOn w:val="Fuentedeprrafopredeter"/>
    <w:rsid w:val="00E82089"/>
  </w:style>
  <w:style w:type="character" w:styleId="eop" w:customStyle="1">
    <w:name w:val="eop"/>
    <w:basedOn w:val="Fuentedeprrafopredeter"/>
    <w:rsid w:val="00E82089"/>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9092a7edfd6420e" /><Relationship Type="http://schemas.openxmlformats.org/officeDocument/2006/relationships/footer" Target="footer.xml" Id="R119a9dd441454455" /></Relationships>
</file>

<file path=word/_rels/header.xml.rels>&#65279;<?xml version="1.0" encoding="utf-8"?><Relationships xmlns="http://schemas.openxmlformats.org/package/2006/relationships"><Relationship Type="http://schemas.openxmlformats.org/officeDocument/2006/relationships/image" Target="/media/image.png" Id="R13acd3c391f548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B3FD9D7724C142AF5E402B1D158968" ma:contentTypeVersion="4" ma:contentTypeDescription="Crear nuevo documento." ma:contentTypeScope="" ma:versionID="daeaab1a842c1bd82a6f02c18417db80">
  <xsd:schema xmlns:xsd="http://www.w3.org/2001/XMLSchema" xmlns:xs="http://www.w3.org/2001/XMLSchema" xmlns:p="http://schemas.microsoft.com/office/2006/metadata/properties" xmlns:ns2="c35aee4c-5f23-4d60-9de3-6a807ad35c5c" targetNamespace="http://schemas.microsoft.com/office/2006/metadata/properties" ma:root="true" ma:fieldsID="3c317aad7da7e2e9cd946302147f566d" ns2:_="">
    <xsd:import namespace="c35aee4c-5f23-4d60-9de3-6a807ad35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aee4c-5f23-4d60-9de3-6a807ad35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7B2B0-EB76-4219-BED4-07D6659C883E}"/>
</file>

<file path=customXml/itemProps2.xml><?xml version="1.0" encoding="utf-8"?>
<ds:datastoreItem xmlns:ds="http://schemas.openxmlformats.org/officeDocument/2006/customXml" ds:itemID="{4D5CC052-4E00-4683-9435-B1A18E2F7266}"/>
</file>

<file path=customXml/itemProps3.xml><?xml version="1.0" encoding="utf-8"?>
<ds:datastoreItem xmlns:ds="http://schemas.openxmlformats.org/officeDocument/2006/customXml" ds:itemID="{68987401-C103-4AC2-91A8-5A27966F04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calvarem</dc:creator>
  <lastModifiedBy>Yerlein Hinestroza Rios</lastModifiedBy>
  <revision>3</revision>
  <dcterms:created xsi:type="dcterms:W3CDTF">2022-04-19T21:03:00.0000000Z</dcterms:created>
  <dcterms:modified xsi:type="dcterms:W3CDTF">2022-04-25T19:18:10.4943998Z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Microsoft® Office Word 2007</vt:lpwstr>
  </property>
  <property fmtid="{D5CDD505-2E9C-101B-9397-08002B2CF9AE}" pid="4" name="LastSaved">
    <vt:filetime>2022-04-06T00:00:00Z</vt:filetime>
  </property>
  <property fmtid="{D5CDD505-2E9C-101B-9397-08002B2CF9AE}" pid="5" name="ContentTypeId">
    <vt:lpwstr>0x0101004AB3FD9D7724C142AF5E402B1D158968</vt:lpwstr>
  </property>
</Properties>
</file>